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0"/>
          <w:szCs w:val="40"/>
          <w:lang w:eastAsia="zh-CN"/>
        </w:rPr>
        <w:t>和田市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0"/>
          <w:szCs w:val="40"/>
        </w:rPr>
        <w:t>报废回收企业公告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0"/>
          <w:szCs w:val="40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企业名称：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和田市生辉再生资源回收有限公司</w:t>
      </w:r>
    </w:p>
    <w:p>
      <w:p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肉孜托乎提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·艾买尔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企业地址：新疆和田地区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和田市北京工业园区京和友谊社区中坤物流园废旧市场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5-5号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认定书编号：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yellow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认定书有效期：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yellow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yellow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yellow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yellow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yellow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yellow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30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yellow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日至202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yellow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yellow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yellow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yellow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yellow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yellow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日有效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发证单位：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和田市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农业农村局    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和田市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县商务局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发证日期：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yellow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yellow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yellow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yellow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yellow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yellow"/>
        </w:rPr>
        <w:t>日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报废农机回收企业认定书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报废农机回收企业营业执照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603875" cy="8097520"/>
            <wp:effectExtent l="0" t="0" r="15875" b="17780"/>
            <wp:docPr id="2" name="图片 2" descr="42074edd31edd61ffcc59a5504a5a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2074edd31edd61ffcc59a5504a5a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809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c8032206e6fe493c265281bd0478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032206e6fe493c265281bd0478b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9865F6"/>
    <w:multiLevelType w:val="singleLevel"/>
    <w:tmpl w:val="3F9865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MTkyNWUwZmE3NTBjYzkzNTJlMzQ3ODFkNTYyNTQifQ=="/>
  </w:docVars>
  <w:rsids>
    <w:rsidRoot w:val="7D6F0EEE"/>
    <w:rsid w:val="16A76895"/>
    <w:rsid w:val="3E287C1B"/>
    <w:rsid w:val="41230F14"/>
    <w:rsid w:val="626F42E4"/>
    <w:rsid w:val="6FA76209"/>
    <w:rsid w:val="7D6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</Words>
  <Characters>193</Characters>
  <Lines>0</Lines>
  <Paragraphs>0</Paragraphs>
  <TotalTime>6</TotalTime>
  <ScaleCrop>false</ScaleCrop>
  <LinksUpToDate>false</LinksUpToDate>
  <CharactersWithSpaces>198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2024-06-04T11:47:00Z</dcterms:created>
  <dc:creator>Administrator</dc:creator>
  <cp:lastModifiedBy>njj</cp:lastModifiedBy>
  <dcterms:modified xsi:type="dcterms:W3CDTF">2024-06-06T11:48:24Z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D77929C74BA47B0D8831616687F95BB3</vt:lpwstr>
  </property>
</Properties>
</file>